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8590537"/>
    <w:bookmarkStart w:id="1" w:name="_Hlk58590562"/>
    <w:p w14:paraId="2BDDC360" w14:textId="72329E7A" w:rsidR="00E1100B" w:rsidRDefault="005F63B1" w:rsidP="00E1100B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D8F455" wp14:editId="647B888E">
                <wp:simplePos x="0" y="0"/>
                <wp:positionH relativeFrom="column">
                  <wp:posOffset>2844800</wp:posOffset>
                </wp:positionH>
                <wp:positionV relativeFrom="paragraph">
                  <wp:posOffset>-904240</wp:posOffset>
                </wp:positionV>
                <wp:extent cx="35560" cy="7741920"/>
                <wp:effectExtent l="0" t="0" r="0" b="0"/>
                <wp:wrapNone/>
                <wp:docPr id="2733600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774192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A21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4pt;margin-top:-71.2pt;width:2.8pt;height:60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" strokeweight="1pt">
                <v:stroke dashstyle="1 1" endcap="round"/>
              </v:shape>
            </w:pict>
          </mc:Fallback>
        </mc:AlternateContent>
      </w:r>
      <w:r w:rsidR="00532C85">
        <w:rPr>
          <w:rFonts w:ascii="Times New Roman" w:hAnsi="Times New Roman"/>
          <w:sz w:val="22"/>
        </w:rPr>
        <w:t xml:space="preserve">Custom Mix </w:t>
      </w:r>
      <w:r w:rsidR="00DF37F2">
        <w:rPr>
          <w:rFonts w:ascii="Times New Roman" w:hAnsi="Times New Roman"/>
          <w:sz w:val="22"/>
        </w:rPr>
        <w:t xml:space="preserve">Growing </w:t>
      </w:r>
      <w:r w:rsidR="00532C85">
        <w:rPr>
          <w:rFonts w:ascii="Times New Roman" w:hAnsi="Times New Roman"/>
          <w:sz w:val="22"/>
        </w:rPr>
        <w:t>Pheasant</w:t>
      </w:r>
      <w:r w:rsidR="00E1100B">
        <w:rPr>
          <w:rFonts w:ascii="Times New Roman" w:hAnsi="Times New Roman"/>
          <w:sz w:val="22"/>
        </w:rPr>
        <w:t xml:space="preserve"> Feed</w:t>
      </w:r>
    </w:p>
    <w:p w14:paraId="759D07B9" w14:textId="77777777" w:rsidR="00E1100B" w:rsidRDefault="00E1100B" w:rsidP="00E1100B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243E39D9" w14:textId="77777777" w:rsidR="00E1100B" w:rsidRDefault="00E1100B" w:rsidP="00E1100B">
      <w:pPr>
        <w:pStyle w:val="Subtitle"/>
        <w:jc w:val="left"/>
        <w:rPr>
          <w:rFonts w:ascii="Times New Roman" w:hAnsi="Times New Roman"/>
          <w:sz w:val="20"/>
        </w:rPr>
      </w:pPr>
    </w:p>
    <w:p w14:paraId="023DF435" w14:textId="77777777" w:rsidR="00E1100B" w:rsidRDefault="00E1100B" w:rsidP="00E1100B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1DCE357A" w14:textId="77777777" w:rsidR="00E1100B" w:rsidRDefault="00E1100B" w:rsidP="00E1100B">
      <w:pPr>
        <w:pStyle w:val="Subtitle"/>
        <w:jc w:val="left"/>
        <w:rPr>
          <w:rFonts w:ascii="Times New Roman" w:hAnsi="Times New Roman"/>
          <w:sz w:val="18"/>
        </w:rPr>
      </w:pPr>
    </w:p>
    <w:p w14:paraId="0AE640D9" w14:textId="77777777" w:rsidR="00E1100B" w:rsidRDefault="00E1100B" w:rsidP="00E1100B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This feed contains 159 grams per ton of </w:t>
      </w:r>
      <w:r w:rsidR="008111C4"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z w:val="18"/>
        </w:rPr>
        <w:t>mprolium.</w:t>
      </w:r>
    </w:p>
    <w:p w14:paraId="3E527FCD" w14:textId="77777777" w:rsidR="00354270" w:rsidRDefault="00354270" w:rsidP="00E1100B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7DFDB36F" w14:textId="77777777" w:rsidR="00E1100B" w:rsidRDefault="00354270" w:rsidP="00E1100B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E1100B" w14:paraId="1114D09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2F9" w14:textId="77777777" w:rsidR="00AD0131" w:rsidRDefault="00AD0131">
            <w:pPr>
              <w:rPr>
                <w:b/>
                <w:sz w:val="16"/>
              </w:rPr>
            </w:pPr>
          </w:p>
          <w:p w14:paraId="22B3A17F" w14:textId="77777777" w:rsidR="00F1595C" w:rsidRDefault="00DF37F2" w:rsidP="00F1595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604750F6" w14:textId="77777777" w:rsidR="00FF138E" w:rsidRDefault="00FF138E" w:rsidP="00F1595C">
            <w:pPr>
              <w:rPr>
                <w:b/>
                <w:sz w:val="16"/>
              </w:rPr>
            </w:pPr>
          </w:p>
          <w:p w14:paraId="2AF9E6AD" w14:textId="77777777" w:rsidR="00E1100B" w:rsidRDefault="00E1100B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579C" w14:textId="77777777" w:rsidR="00E1100B" w:rsidRDefault="00E1100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</w:t>
            </w:r>
            <w:r w:rsidR="00AD0131">
              <w:rPr>
                <w:b/>
                <w:sz w:val="16"/>
              </w:rPr>
              <w:t>pheasants</w:t>
            </w:r>
            <w:r>
              <w:rPr>
                <w:b/>
                <w:sz w:val="16"/>
              </w:rPr>
              <w:t xml:space="preserve"> caused by </w:t>
            </w:r>
            <w:r>
              <w:rPr>
                <w:b/>
                <w:i/>
                <w:sz w:val="16"/>
              </w:rPr>
              <w:t xml:space="preserve">Eimeria </w:t>
            </w:r>
            <w:r w:rsidR="00AD0131">
              <w:rPr>
                <w:b/>
                <w:i/>
                <w:sz w:val="16"/>
              </w:rPr>
              <w:t>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 xml:space="preserve">Eimeria </w:t>
            </w:r>
            <w:r w:rsidR="00AD0131">
              <w:rPr>
                <w:b/>
                <w:i/>
                <w:sz w:val="16"/>
              </w:rPr>
              <w:t>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66921CCC" w14:textId="77777777" w:rsidR="00354270" w:rsidRDefault="00354270" w:rsidP="00AD0131">
      <w:pPr>
        <w:ind w:left="630" w:hanging="630"/>
        <w:rPr>
          <w:b/>
          <w:sz w:val="16"/>
          <w:u w:val="single"/>
        </w:rPr>
      </w:pPr>
    </w:p>
    <w:p w14:paraId="0E679AF3" w14:textId="77777777" w:rsidR="00DF37F2" w:rsidRDefault="00AD0131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</w:t>
      </w:r>
      <w:r w:rsidR="00DF37F2">
        <w:rPr>
          <w:b/>
          <w:sz w:val="16"/>
        </w:rPr>
        <w:t>.</w:t>
      </w:r>
    </w:p>
    <w:p w14:paraId="37B011C7" w14:textId="7DB25859" w:rsidR="00AD0131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="00AD0131" w:rsidRPr="0018756F">
        <w:rPr>
          <w:b/>
          <w:sz w:val="16"/>
        </w:rPr>
        <w:t xml:space="preserve">Do not </w:t>
      </w:r>
      <w:proofErr w:type="gramStart"/>
      <w:r w:rsidR="00AD0131" w:rsidRPr="0018756F">
        <w:rPr>
          <w:b/>
          <w:sz w:val="16"/>
        </w:rPr>
        <w:t>use in</w:t>
      </w:r>
      <w:proofErr w:type="gramEnd"/>
      <w:r w:rsidR="00AD0131" w:rsidRPr="0018756F">
        <w:rPr>
          <w:b/>
          <w:sz w:val="16"/>
        </w:rPr>
        <w:t xml:space="preserve"> feeds containing bentonite.</w:t>
      </w:r>
    </w:p>
    <w:p w14:paraId="78A6CD4A" w14:textId="0F61351F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bookmarkEnd w:id="0"/>
    <w:p w14:paraId="321E9375" w14:textId="77777777" w:rsidR="00354270" w:rsidRDefault="00354270" w:rsidP="00AD0131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5A0BC7D8" w14:textId="77777777" w:rsidR="00AD0131" w:rsidRDefault="00AD0131" w:rsidP="00AD0131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 xml:space="preserve">UK Regulatory Services – </w:t>
      </w:r>
      <w:r w:rsidR="00DF37F2">
        <w:rPr>
          <w:rFonts w:ascii="Times New Roman" w:hAnsi="Times New Roman"/>
        </w:rPr>
        <w:t>12/20</w:t>
      </w:r>
      <w:bookmarkEnd w:id="1"/>
    </w:p>
    <w:p w14:paraId="10FE893B" w14:textId="77777777" w:rsidR="00916DB7" w:rsidRDefault="00916DB7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p w14:paraId="0FE35528" w14:textId="7F4D62CF" w:rsidR="00354270" w:rsidRDefault="005F63B1" w:rsidP="00354270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23028" wp14:editId="4DFD08F4">
                <wp:simplePos x="0" y="0"/>
                <wp:positionH relativeFrom="column">
                  <wp:posOffset>-142240</wp:posOffset>
                </wp:positionH>
                <wp:positionV relativeFrom="paragraph">
                  <wp:posOffset>121920</wp:posOffset>
                </wp:positionV>
                <wp:extent cx="9494520" cy="5080"/>
                <wp:effectExtent l="0" t="0" r="0" b="0"/>
                <wp:wrapNone/>
                <wp:docPr id="12898884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4520" cy="508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2410" id="AutoShape 4" o:spid="_x0000_s1026" type="#_x0000_t32" style="position:absolute;margin-left:-11.2pt;margin-top:9.6pt;width:747.6pt;height: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" strokeweight="1pt">
                <v:stroke dashstyle="1 1" endcap="round"/>
              </v:shape>
            </w:pict>
          </mc:Fallback>
        </mc:AlternateContent>
      </w:r>
    </w:p>
    <w:p w14:paraId="1F46A644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74654429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6BF4C158" w14:textId="77777777" w:rsidR="00DF37F2" w:rsidRDefault="00DF37F2" w:rsidP="00DF37F2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Growing Pheasant Feed</w:t>
      </w:r>
    </w:p>
    <w:p w14:paraId="27AA2EE7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46D616FB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</w:p>
    <w:p w14:paraId="1E3C6477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0DE6F570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</w:p>
    <w:p w14:paraId="706272BF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159 grams per ton of Amprolium.</w:t>
      </w:r>
    </w:p>
    <w:p w14:paraId="0BD8F7E9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1DAB5620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DF37F2" w14:paraId="11FCCD44" w14:textId="77777777" w:rsidTr="006F13F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11B" w14:textId="77777777" w:rsidR="00DF37F2" w:rsidRDefault="00DF37F2" w:rsidP="006F13FE">
            <w:pPr>
              <w:rPr>
                <w:b/>
                <w:sz w:val="16"/>
              </w:rPr>
            </w:pPr>
          </w:p>
          <w:p w14:paraId="0049DD97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2CC6A919" w14:textId="77777777" w:rsidR="00DF37F2" w:rsidRDefault="00DF37F2" w:rsidP="006F13FE">
            <w:pPr>
              <w:rPr>
                <w:b/>
                <w:sz w:val="16"/>
              </w:rPr>
            </w:pPr>
          </w:p>
          <w:p w14:paraId="5C51E33F" w14:textId="77777777" w:rsidR="00DF37F2" w:rsidRDefault="00DF37F2" w:rsidP="006F13FE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4D5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pheasants caused by </w:t>
            </w:r>
            <w:r>
              <w:rPr>
                <w:b/>
                <w:i/>
                <w:sz w:val="16"/>
              </w:rPr>
              <w:t>Eimeria 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>Eimeria 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2A5B7409" w14:textId="77777777" w:rsidR="00DF37F2" w:rsidRDefault="00DF37F2" w:rsidP="00DF37F2">
      <w:pPr>
        <w:ind w:left="630" w:hanging="630"/>
        <w:rPr>
          <w:b/>
          <w:sz w:val="16"/>
          <w:u w:val="single"/>
        </w:rPr>
      </w:pPr>
    </w:p>
    <w:p w14:paraId="117F37F1" w14:textId="77777777" w:rsidR="00DF37F2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pheasants.</w:t>
      </w:r>
    </w:p>
    <w:p w14:paraId="5891D4A4" w14:textId="57322778" w:rsidR="00DF37F2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Pr="0018756F">
        <w:rPr>
          <w:b/>
          <w:sz w:val="16"/>
        </w:rPr>
        <w:t xml:space="preserve">Do not </w:t>
      </w:r>
      <w:proofErr w:type="gramStart"/>
      <w:r w:rsidRPr="0018756F">
        <w:rPr>
          <w:b/>
          <w:sz w:val="16"/>
        </w:rPr>
        <w:t>use in</w:t>
      </w:r>
      <w:proofErr w:type="gramEnd"/>
      <w:r w:rsidRPr="0018756F">
        <w:rPr>
          <w:b/>
          <w:sz w:val="16"/>
        </w:rPr>
        <w:t xml:space="preserve"> feeds containing bentonite.</w:t>
      </w:r>
    </w:p>
    <w:p w14:paraId="6D978B57" w14:textId="3A210F6B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p w14:paraId="69C97ACB" w14:textId="77777777" w:rsidR="00DF37F2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7178B70D" w14:textId="77777777" w:rsidR="00354270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>UK Regulatory Services – 12/20</w:t>
      </w:r>
    </w:p>
    <w:p w14:paraId="3F1370D9" w14:textId="77777777" w:rsidR="00354270" w:rsidRDefault="00354270" w:rsidP="00354270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p w14:paraId="67DD09E0" w14:textId="77777777" w:rsidR="00354270" w:rsidRDefault="00354270" w:rsidP="00354270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p w14:paraId="25D0B66F" w14:textId="2D8238ED" w:rsidR="00DF37F2" w:rsidRDefault="005F63B1" w:rsidP="00DF37F2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E28C1" wp14:editId="7C824AF3">
                <wp:simplePos x="0" y="0"/>
                <wp:positionH relativeFrom="column">
                  <wp:posOffset>2844800</wp:posOffset>
                </wp:positionH>
                <wp:positionV relativeFrom="paragraph">
                  <wp:posOffset>-904240</wp:posOffset>
                </wp:positionV>
                <wp:extent cx="35560" cy="7741920"/>
                <wp:effectExtent l="0" t="0" r="0" b="0"/>
                <wp:wrapNone/>
                <wp:docPr id="4446627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774192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7F22" id="AutoShape 6" o:spid="_x0000_s1026" type="#_x0000_t32" style="position:absolute;margin-left:224pt;margin-top:-71.2pt;width:2.8pt;height:60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" strokeweight="1pt">
                <v:stroke dashstyle="1 1" endcap="round"/>
              </v:shape>
            </w:pict>
          </mc:Fallback>
        </mc:AlternateContent>
      </w:r>
      <w:r w:rsidR="00DF37F2">
        <w:rPr>
          <w:rFonts w:ascii="Times New Roman" w:hAnsi="Times New Roman"/>
          <w:sz w:val="22"/>
        </w:rPr>
        <w:t>Custom Mix Growing Pheasant Feed</w:t>
      </w:r>
    </w:p>
    <w:p w14:paraId="52F394EB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65A4D7FB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</w:p>
    <w:p w14:paraId="7FFEA580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6720203A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</w:p>
    <w:p w14:paraId="56812D4E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159 grams per ton of Amprolium.</w:t>
      </w:r>
    </w:p>
    <w:p w14:paraId="34B3FA2E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77917F50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DF37F2" w14:paraId="7F19127D" w14:textId="77777777" w:rsidTr="006F13F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0A4" w14:textId="77777777" w:rsidR="00DF37F2" w:rsidRDefault="00DF37F2" w:rsidP="006F13FE">
            <w:pPr>
              <w:rPr>
                <w:b/>
                <w:sz w:val="16"/>
              </w:rPr>
            </w:pPr>
          </w:p>
          <w:p w14:paraId="35C701BB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2E9A27B8" w14:textId="77777777" w:rsidR="00DF37F2" w:rsidRDefault="00DF37F2" w:rsidP="006F13FE">
            <w:pPr>
              <w:rPr>
                <w:b/>
                <w:sz w:val="16"/>
              </w:rPr>
            </w:pPr>
          </w:p>
          <w:p w14:paraId="6AF28DF1" w14:textId="77777777" w:rsidR="00DF37F2" w:rsidRDefault="00DF37F2" w:rsidP="006F13FE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70E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pheasants caused by </w:t>
            </w:r>
            <w:r>
              <w:rPr>
                <w:b/>
                <w:i/>
                <w:sz w:val="16"/>
              </w:rPr>
              <w:t>Eimeria 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>Eimeria 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7FE72FBB" w14:textId="77777777" w:rsidR="00DF37F2" w:rsidRDefault="00DF37F2" w:rsidP="00DF37F2">
      <w:pPr>
        <w:ind w:left="630" w:hanging="630"/>
        <w:rPr>
          <w:b/>
          <w:sz w:val="16"/>
          <w:u w:val="single"/>
        </w:rPr>
      </w:pPr>
    </w:p>
    <w:p w14:paraId="631F0F8B" w14:textId="77777777" w:rsidR="00DF37F2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pheasants.</w:t>
      </w:r>
    </w:p>
    <w:p w14:paraId="39A43604" w14:textId="742310CE" w:rsidR="00DF37F2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Pr="0018756F">
        <w:rPr>
          <w:b/>
          <w:sz w:val="16"/>
        </w:rPr>
        <w:t xml:space="preserve">Do not </w:t>
      </w:r>
      <w:proofErr w:type="gramStart"/>
      <w:r w:rsidRPr="0018756F">
        <w:rPr>
          <w:b/>
          <w:sz w:val="16"/>
        </w:rPr>
        <w:t>use in</w:t>
      </w:r>
      <w:proofErr w:type="gramEnd"/>
      <w:r w:rsidRPr="0018756F">
        <w:rPr>
          <w:b/>
          <w:sz w:val="16"/>
        </w:rPr>
        <w:t xml:space="preserve"> feeds containing bentonite.</w:t>
      </w:r>
    </w:p>
    <w:p w14:paraId="6BB90E38" w14:textId="1F3F8CA1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p w14:paraId="35636139" w14:textId="77777777" w:rsidR="00DF37F2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40958A52" w14:textId="77777777" w:rsidR="00354270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>UK Regulatory Services – 12/20</w:t>
      </w:r>
    </w:p>
    <w:p w14:paraId="43E8319F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3DC485B1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3749A47A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1F37B99C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</w:p>
    <w:p w14:paraId="37D84E9E" w14:textId="77777777" w:rsidR="00DF37F2" w:rsidRDefault="00DF37F2" w:rsidP="00DF37F2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Growing Pheasant Feed</w:t>
      </w:r>
    </w:p>
    <w:p w14:paraId="004CDF0A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20153BBB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</w:p>
    <w:p w14:paraId="69A13825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68F3C90B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</w:p>
    <w:p w14:paraId="6B749086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159 grams per ton of Amprolium.</w:t>
      </w:r>
    </w:p>
    <w:p w14:paraId="71D9433D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36F55DFE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DF37F2" w14:paraId="08914B2C" w14:textId="77777777" w:rsidTr="006F13F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339" w14:textId="77777777" w:rsidR="00DF37F2" w:rsidRDefault="00DF37F2" w:rsidP="006F13FE">
            <w:pPr>
              <w:rPr>
                <w:b/>
                <w:sz w:val="16"/>
              </w:rPr>
            </w:pPr>
          </w:p>
          <w:p w14:paraId="3839CCA0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1C6BE6FA" w14:textId="77777777" w:rsidR="00DF37F2" w:rsidRDefault="00DF37F2" w:rsidP="006F13FE">
            <w:pPr>
              <w:rPr>
                <w:b/>
                <w:sz w:val="16"/>
              </w:rPr>
            </w:pPr>
          </w:p>
          <w:p w14:paraId="7288B7EB" w14:textId="77777777" w:rsidR="00DF37F2" w:rsidRDefault="00DF37F2" w:rsidP="006F13FE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DEF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pheasants caused by </w:t>
            </w:r>
            <w:r>
              <w:rPr>
                <w:b/>
                <w:i/>
                <w:sz w:val="16"/>
              </w:rPr>
              <w:t>Eimeria 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>Eimeria 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48FD83F2" w14:textId="77777777" w:rsidR="00DF37F2" w:rsidRDefault="00DF37F2" w:rsidP="00DF37F2">
      <w:pPr>
        <w:ind w:left="630" w:hanging="630"/>
        <w:rPr>
          <w:b/>
          <w:sz w:val="16"/>
          <w:u w:val="single"/>
        </w:rPr>
      </w:pPr>
    </w:p>
    <w:p w14:paraId="40BBA4C9" w14:textId="77777777" w:rsidR="00DF37F2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pheasants.</w:t>
      </w:r>
    </w:p>
    <w:p w14:paraId="79AD8151" w14:textId="1D3F5CCE" w:rsidR="00DF37F2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Pr="0018756F">
        <w:rPr>
          <w:b/>
          <w:sz w:val="16"/>
        </w:rPr>
        <w:t xml:space="preserve">Do not </w:t>
      </w:r>
      <w:proofErr w:type="gramStart"/>
      <w:r w:rsidRPr="0018756F">
        <w:rPr>
          <w:b/>
          <w:sz w:val="16"/>
        </w:rPr>
        <w:t>use in</w:t>
      </w:r>
      <w:proofErr w:type="gramEnd"/>
      <w:r w:rsidRPr="0018756F">
        <w:rPr>
          <w:b/>
          <w:sz w:val="16"/>
        </w:rPr>
        <w:t xml:space="preserve"> feeds containing bentonite.</w:t>
      </w:r>
    </w:p>
    <w:p w14:paraId="1046F983" w14:textId="731152DC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p w14:paraId="0DDEDE73" w14:textId="77777777" w:rsidR="00DF37F2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3A089CAC" w14:textId="77777777" w:rsidR="00354270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>UK Regulatory Services – 12/20</w:t>
      </w:r>
    </w:p>
    <w:p w14:paraId="776F437B" w14:textId="77777777" w:rsidR="00354270" w:rsidRDefault="00354270" w:rsidP="00354270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p w14:paraId="027CAD17" w14:textId="77777777" w:rsidR="00DF37F2" w:rsidRDefault="00DF37F2" w:rsidP="00DF37F2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Growing Pheasant Feed</w:t>
      </w:r>
    </w:p>
    <w:p w14:paraId="0408F1F3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6636994C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</w:p>
    <w:p w14:paraId="57A3D4E9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432BD72B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</w:p>
    <w:p w14:paraId="03EA7560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159 grams per ton of Amprolium.</w:t>
      </w:r>
    </w:p>
    <w:p w14:paraId="54A594CD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6F4A6DC3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DF37F2" w14:paraId="0AC654C7" w14:textId="77777777" w:rsidTr="006F13F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442" w14:textId="77777777" w:rsidR="00DF37F2" w:rsidRDefault="00DF37F2" w:rsidP="006F13FE">
            <w:pPr>
              <w:rPr>
                <w:b/>
                <w:sz w:val="16"/>
              </w:rPr>
            </w:pPr>
          </w:p>
          <w:p w14:paraId="62B2D989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02505A81" w14:textId="77777777" w:rsidR="00DF37F2" w:rsidRDefault="00DF37F2" w:rsidP="006F13FE">
            <w:pPr>
              <w:rPr>
                <w:b/>
                <w:sz w:val="16"/>
              </w:rPr>
            </w:pPr>
          </w:p>
          <w:p w14:paraId="5FACB265" w14:textId="77777777" w:rsidR="00DF37F2" w:rsidRDefault="00DF37F2" w:rsidP="006F13FE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AFC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pheasants caused by </w:t>
            </w:r>
            <w:r>
              <w:rPr>
                <w:b/>
                <w:i/>
                <w:sz w:val="16"/>
              </w:rPr>
              <w:t>Eimeria 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>Eimeria 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75AF1A40" w14:textId="77777777" w:rsidR="00DF37F2" w:rsidRDefault="00DF37F2" w:rsidP="00DF37F2">
      <w:pPr>
        <w:ind w:left="630" w:hanging="630"/>
        <w:rPr>
          <w:b/>
          <w:sz w:val="16"/>
          <w:u w:val="single"/>
        </w:rPr>
      </w:pPr>
    </w:p>
    <w:p w14:paraId="598EFFC9" w14:textId="77777777" w:rsidR="00DF37F2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pheasants.</w:t>
      </w:r>
    </w:p>
    <w:p w14:paraId="5DF7A9A5" w14:textId="5E61F5C0" w:rsidR="00DF37F2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Pr="0018756F">
        <w:rPr>
          <w:b/>
          <w:sz w:val="16"/>
        </w:rPr>
        <w:t xml:space="preserve">Do not </w:t>
      </w:r>
      <w:proofErr w:type="gramStart"/>
      <w:r w:rsidRPr="0018756F">
        <w:rPr>
          <w:b/>
          <w:sz w:val="16"/>
        </w:rPr>
        <w:t>use in</w:t>
      </w:r>
      <w:proofErr w:type="gramEnd"/>
      <w:r w:rsidRPr="0018756F">
        <w:rPr>
          <w:b/>
          <w:sz w:val="16"/>
        </w:rPr>
        <w:t xml:space="preserve"> feeds containing bentonite.</w:t>
      </w:r>
    </w:p>
    <w:p w14:paraId="013400CD" w14:textId="6402AFF6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p w14:paraId="430F747E" w14:textId="77777777" w:rsidR="00DF37F2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42F4CC35" w14:textId="77777777" w:rsidR="00354270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>UK Regulatory Services – 12/20</w:t>
      </w:r>
    </w:p>
    <w:p w14:paraId="444AE8AB" w14:textId="77777777" w:rsidR="00354270" w:rsidRDefault="00354270" w:rsidP="00354270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p w14:paraId="08CCB2AE" w14:textId="77777777" w:rsidR="00354270" w:rsidRDefault="00354270" w:rsidP="00354270">
      <w:pPr>
        <w:pStyle w:val="Subtitle"/>
        <w:rPr>
          <w:rFonts w:ascii="Times New Roman" w:hAnsi="Times New Roman"/>
          <w:sz w:val="22"/>
        </w:rPr>
      </w:pPr>
    </w:p>
    <w:p w14:paraId="2FEF666C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</w:p>
    <w:p w14:paraId="0E391355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</w:p>
    <w:p w14:paraId="3EA74C0A" w14:textId="77777777" w:rsidR="00DF37F2" w:rsidRDefault="00DF37F2" w:rsidP="00DF37F2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Growing Pheasant Feed</w:t>
      </w:r>
    </w:p>
    <w:p w14:paraId="331D0342" w14:textId="77777777" w:rsidR="00DF37F2" w:rsidRDefault="00DF37F2" w:rsidP="00DF37F2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7B12DCD4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</w:p>
    <w:p w14:paraId="1DAEB9C3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AMPROLIUM</w:t>
      </w:r>
    </w:p>
    <w:p w14:paraId="53193459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</w:p>
    <w:p w14:paraId="08FA1141" w14:textId="77777777" w:rsidR="00DF37F2" w:rsidRDefault="00DF37F2" w:rsidP="00DF37F2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159 grams per ton of Amprolium.</w:t>
      </w:r>
    </w:p>
    <w:p w14:paraId="7C7492B2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1F2CBDB0" w14:textId="77777777" w:rsidR="00DF37F2" w:rsidRDefault="00DF37F2" w:rsidP="00DF37F2">
      <w:pPr>
        <w:pStyle w:val="BodyText"/>
        <w:ind w:left="180" w:hanging="18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Use Level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4"/>
      </w:tblGrid>
      <w:tr w:rsidR="00DF37F2" w14:paraId="464817CB" w14:textId="77777777" w:rsidTr="006F13F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C8B4" w14:textId="77777777" w:rsidR="00DF37F2" w:rsidRDefault="00DF37F2" w:rsidP="006F13FE">
            <w:pPr>
              <w:rPr>
                <w:b/>
                <w:sz w:val="16"/>
              </w:rPr>
            </w:pPr>
          </w:p>
          <w:p w14:paraId="4BA16AF8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159 g/ton (0.175%)</w:t>
            </w:r>
          </w:p>
          <w:p w14:paraId="0A91942C" w14:textId="77777777" w:rsidR="00DF37F2" w:rsidRDefault="00DF37F2" w:rsidP="006F13FE">
            <w:pPr>
              <w:rPr>
                <w:b/>
                <w:sz w:val="16"/>
              </w:rPr>
            </w:pPr>
          </w:p>
          <w:p w14:paraId="0DEE1AED" w14:textId="77777777" w:rsidR="00DF37F2" w:rsidRDefault="00DF37F2" w:rsidP="006F13FE">
            <w:pPr>
              <w:rPr>
                <w:sz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FC2" w14:textId="77777777" w:rsidR="00DF37F2" w:rsidRDefault="00DF37F2" w:rsidP="006F13F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coccidiosis in growing pheasants caused by </w:t>
            </w:r>
            <w:r>
              <w:rPr>
                <w:b/>
                <w:i/>
                <w:sz w:val="16"/>
              </w:rPr>
              <w:t>Eimeria colchici, Eimeria duodenalis</w:t>
            </w:r>
            <w:r>
              <w:rPr>
                <w:b/>
                <w:sz w:val="16"/>
              </w:rPr>
              <w:t xml:space="preserve"> and </w:t>
            </w:r>
            <w:r>
              <w:rPr>
                <w:b/>
                <w:i/>
                <w:sz w:val="16"/>
              </w:rPr>
              <w:t>Eimeria phasiani</w:t>
            </w:r>
            <w:r>
              <w:rPr>
                <w:b/>
                <w:sz w:val="16"/>
              </w:rPr>
              <w:t>.</w:t>
            </w:r>
          </w:p>
        </w:tc>
      </w:tr>
    </w:tbl>
    <w:p w14:paraId="56C5A7EE" w14:textId="77777777" w:rsidR="00DF37F2" w:rsidRDefault="00DF37F2" w:rsidP="00DF37F2">
      <w:pPr>
        <w:ind w:left="630" w:hanging="630"/>
        <w:rPr>
          <w:b/>
          <w:sz w:val="16"/>
          <w:u w:val="single"/>
        </w:rPr>
      </w:pPr>
    </w:p>
    <w:p w14:paraId="77C8367D" w14:textId="77777777" w:rsidR="00DF37F2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WARNING:</w:t>
      </w:r>
      <w:r>
        <w:rPr>
          <w:sz w:val="16"/>
        </w:rPr>
        <w:t xml:space="preserve"> </w:t>
      </w:r>
      <w:r>
        <w:rPr>
          <w:b/>
          <w:sz w:val="16"/>
        </w:rPr>
        <w:t>Use as sole source of Amprolium.  Fertility, hatchability and other reproductive data are not available on Amprolium in breeding pheasants.</w:t>
      </w:r>
    </w:p>
    <w:p w14:paraId="56DF623A" w14:textId="62E241C5" w:rsidR="00DF37F2" w:rsidRDefault="00DF37F2" w:rsidP="00DF37F2">
      <w:pPr>
        <w:ind w:left="630" w:right="372" w:hanging="630"/>
        <w:rPr>
          <w:b/>
          <w:sz w:val="16"/>
        </w:rPr>
      </w:pPr>
      <w:r w:rsidRPr="00DF37F2">
        <w:rPr>
          <w:b/>
          <w:sz w:val="16"/>
          <w:u w:val="single"/>
        </w:rPr>
        <w:t>CAUTIION</w:t>
      </w:r>
      <w:r>
        <w:rPr>
          <w:b/>
          <w:sz w:val="16"/>
        </w:rPr>
        <w:t xml:space="preserve">: </w:t>
      </w:r>
      <w:r w:rsidRPr="0018756F">
        <w:rPr>
          <w:b/>
          <w:sz w:val="16"/>
        </w:rPr>
        <w:t xml:space="preserve">Do not </w:t>
      </w:r>
      <w:proofErr w:type="gramStart"/>
      <w:r w:rsidRPr="0018756F">
        <w:rPr>
          <w:b/>
          <w:sz w:val="16"/>
        </w:rPr>
        <w:t>use in</w:t>
      </w:r>
      <w:proofErr w:type="gramEnd"/>
      <w:r w:rsidRPr="0018756F">
        <w:rPr>
          <w:b/>
          <w:sz w:val="16"/>
        </w:rPr>
        <w:t xml:space="preserve"> feeds containing bentonite.</w:t>
      </w:r>
    </w:p>
    <w:p w14:paraId="52C83EFC" w14:textId="1D020F4A" w:rsidR="00DF37F2" w:rsidRPr="0018756F" w:rsidRDefault="00DF37F2" w:rsidP="00DF37F2">
      <w:pPr>
        <w:ind w:left="630" w:right="372" w:hanging="630"/>
        <w:rPr>
          <w:b/>
          <w:sz w:val="16"/>
        </w:rPr>
      </w:pPr>
      <w:r>
        <w:rPr>
          <w:b/>
          <w:sz w:val="16"/>
          <w:u w:val="single"/>
        </w:rPr>
        <w:t>LIMITATIONS FOR USE</w:t>
      </w:r>
      <w:r w:rsidRPr="00DF37F2">
        <w:rPr>
          <w:b/>
          <w:sz w:val="16"/>
        </w:rPr>
        <w:t>:</w:t>
      </w:r>
      <w:r>
        <w:rPr>
          <w:b/>
          <w:sz w:val="16"/>
        </w:rPr>
        <w:t xml:space="preserve"> Feed continuously as sole ration.</w:t>
      </w:r>
    </w:p>
    <w:p w14:paraId="6725234F" w14:textId="77777777" w:rsidR="00DF37F2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b w:val="0"/>
        </w:rPr>
      </w:pPr>
    </w:p>
    <w:p w14:paraId="16C87EC5" w14:textId="77777777" w:rsidR="00354270" w:rsidRDefault="00DF37F2" w:rsidP="00DF37F2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  <w:r>
        <w:rPr>
          <w:b w:val="0"/>
        </w:rPr>
        <w:t xml:space="preserve">  </w:t>
      </w:r>
      <w:r>
        <w:rPr>
          <w:rFonts w:ascii="Times New Roman" w:hAnsi="Times New Roman"/>
        </w:rPr>
        <w:t>UK Regulatory Services – 12/20</w:t>
      </w:r>
    </w:p>
    <w:p w14:paraId="24B402B7" w14:textId="77777777" w:rsidR="00354270" w:rsidRDefault="00354270" w:rsidP="00354270">
      <w:pPr>
        <w:pStyle w:val="BodyText"/>
        <w:tabs>
          <w:tab w:val="left" w:pos="4050"/>
        </w:tabs>
        <w:ind w:left="1080" w:right="462" w:hanging="1080"/>
        <w:jc w:val="right"/>
        <w:rPr>
          <w:rFonts w:ascii="Times New Roman" w:hAnsi="Times New Roman"/>
        </w:rPr>
      </w:pPr>
    </w:p>
    <w:sectPr w:rsidR="00354270" w:rsidSect="00354270">
      <w:pgSz w:w="15840" w:h="12240" w:orient="landscape" w:code="1"/>
      <w:pgMar w:top="1440" w:right="720" w:bottom="720" w:left="720" w:header="720" w:footer="720" w:gutter="0"/>
      <w:cols w:num="3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7"/>
    <w:rsid w:val="0000576B"/>
    <w:rsid w:val="000A7178"/>
    <w:rsid w:val="0018756F"/>
    <w:rsid w:val="00354270"/>
    <w:rsid w:val="003B755C"/>
    <w:rsid w:val="00404B46"/>
    <w:rsid w:val="00532246"/>
    <w:rsid w:val="00532C85"/>
    <w:rsid w:val="005F63B1"/>
    <w:rsid w:val="00613DFB"/>
    <w:rsid w:val="00683E4F"/>
    <w:rsid w:val="006F13FE"/>
    <w:rsid w:val="007776CB"/>
    <w:rsid w:val="008111C4"/>
    <w:rsid w:val="00904014"/>
    <w:rsid w:val="00916DB7"/>
    <w:rsid w:val="00971A5F"/>
    <w:rsid w:val="009F06E2"/>
    <w:rsid w:val="00A36D67"/>
    <w:rsid w:val="00AB0202"/>
    <w:rsid w:val="00AD0131"/>
    <w:rsid w:val="00B32931"/>
    <w:rsid w:val="00DF37F2"/>
    <w:rsid w:val="00E1100B"/>
    <w:rsid w:val="00F1595C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8978B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18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33508-9004-4293-82A5-331D52E416B7}"/>
</file>

<file path=customXml/itemProps2.xml><?xml version="1.0" encoding="utf-8"?>
<ds:datastoreItem xmlns:ds="http://schemas.openxmlformats.org/officeDocument/2006/customXml" ds:itemID="{BFD082AA-99A5-4225-A32D-E558264A60D7}"/>
</file>

<file path=customXml/itemProps3.xml><?xml version="1.0" encoding="utf-8"?>
<ds:datastoreItem xmlns:ds="http://schemas.openxmlformats.org/officeDocument/2006/customXml" ds:itemID="{CC1D0AD1-5ABE-40B6-94A4-D5BC138AC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3140</Characters>
  <Application>Microsoft Office Word</Application>
  <DocSecurity>0</DocSecurity>
  <Lines>184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Swine Feed</vt:lpstr>
    </vt:vector>
  </TitlesOfParts>
  <Company>Dell Computer Corporation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Swine Feed</dc:title>
  <dc:subject/>
  <dc:creator>Steve McMurry</dc:creator>
  <cp:keywords/>
  <cp:lastModifiedBy>Freeman, Deidre J.</cp:lastModifiedBy>
  <cp:revision>3</cp:revision>
  <cp:lastPrinted>2015-11-16T15:01:00Z</cp:lastPrinted>
  <dcterms:created xsi:type="dcterms:W3CDTF">2026-03-24T20:45:00Z</dcterms:created>
  <dcterms:modified xsi:type="dcterms:W3CDTF">2026-04-02T15:55:00Z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